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7E" w:rsidRPr="00BD2323" w:rsidRDefault="00C34A7E" w:rsidP="002C3065">
      <w:pPr>
        <w:pStyle w:val="Default"/>
        <w:spacing w:after="240"/>
        <w:jc w:val="both"/>
        <w:rPr>
          <w:rFonts w:ascii="Verdana" w:hAnsi="Verdana"/>
          <w:sz w:val="22"/>
          <w:szCs w:val="22"/>
          <w:u w:val="single"/>
        </w:rPr>
      </w:pPr>
      <w:r w:rsidRPr="00BD2323">
        <w:rPr>
          <w:rFonts w:ascii="Verdana" w:hAnsi="Verdana"/>
          <w:sz w:val="22"/>
          <w:szCs w:val="22"/>
          <w:u w:val="single"/>
        </w:rPr>
        <w:t xml:space="preserve">GCSE Assessment Information: </w:t>
      </w:r>
    </w:p>
    <w:p w:rsidR="00C34A7E" w:rsidRPr="002C3065" w:rsidRDefault="00C34A7E" w:rsidP="002C3065">
      <w:pPr>
        <w:pStyle w:val="Default"/>
        <w:jc w:val="both"/>
        <w:rPr>
          <w:rFonts w:ascii="Verdana" w:hAnsi="Verdana"/>
          <w:sz w:val="22"/>
          <w:szCs w:val="22"/>
        </w:rPr>
      </w:pPr>
      <w:r w:rsidRPr="002C3065">
        <w:rPr>
          <w:rFonts w:ascii="Verdana" w:hAnsi="Verdana"/>
          <w:sz w:val="22"/>
          <w:szCs w:val="22"/>
        </w:rPr>
        <w:t xml:space="preserve">The weighting of the different content domains for the 9-1 GCSE is prescribed by the Department for Education (DFE) as follows: </w:t>
      </w:r>
    </w:p>
    <w:p w:rsidR="00C34A7E" w:rsidRPr="002C3065" w:rsidRDefault="00C34A7E" w:rsidP="002C3065">
      <w:pPr>
        <w:pStyle w:val="Default"/>
        <w:jc w:val="both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73"/>
        <w:gridCol w:w="2867"/>
      </w:tblGrid>
      <w:tr w:rsidR="00C34A7E" w:rsidRPr="002C3065" w:rsidTr="00C34A7E">
        <w:trPr>
          <w:trHeight w:val="264"/>
        </w:trPr>
        <w:tc>
          <w:tcPr>
            <w:tcW w:w="5940" w:type="dxa"/>
            <w:gridSpan w:val="2"/>
          </w:tcPr>
          <w:p w:rsidR="00C34A7E" w:rsidRPr="002C3065" w:rsidRDefault="00C34A7E" w:rsidP="002C3065">
            <w:pPr>
              <w:pStyle w:val="Default"/>
              <w:spacing w:before="240" w:after="240"/>
              <w:jc w:val="center"/>
              <w:rPr>
                <w:rFonts w:ascii="Verdana" w:hAnsi="Verdana"/>
                <w:sz w:val="20"/>
                <w:szCs w:val="22"/>
              </w:rPr>
            </w:pPr>
            <w:r w:rsidRPr="002C3065">
              <w:rPr>
                <w:rFonts w:ascii="Verdana" w:hAnsi="Verdana"/>
                <w:sz w:val="20"/>
                <w:szCs w:val="22"/>
              </w:rPr>
              <w:t>Weighting of marks per assessment series for “</w:t>
            </w:r>
            <w:r w:rsidR="00EF0936">
              <w:rPr>
                <w:rFonts w:ascii="Verdana" w:hAnsi="Verdana"/>
                <w:sz w:val="20"/>
                <w:szCs w:val="22"/>
              </w:rPr>
              <w:t>Probability &amp; Statistics</w:t>
            </w:r>
            <w:r w:rsidRPr="002C3065">
              <w:rPr>
                <w:rFonts w:ascii="Verdana" w:hAnsi="Verdana"/>
                <w:sz w:val="20"/>
                <w:szCs w:val="22"/>
              </w:rPr>
              <w:t>”</w:t>
            </w:r>
          </w:p>
        </w:tc>
      </w:tr>
      <w:tr w:rsidR="00C34A7E" w:rsidRPr="002C3065" w:rsidTr="00C34A7E">
        <w:trPr>
          <w:trHeight w:val="264"/>
        </w:trPr>
        <w:tc>
          <w:tcPr>
            <w:tcW w:w="3073" w:type="dxa"/>
          </w:tcPr>
          <w:p w:rsidR="00C34A7E" w:rsidRPr="002C3065" w:rsidRDefault="00C34A7E" w:rsidP="002C3065">
            <w:pPr>
              <w:pStyle w:val="Default"/>
              <w:jc w:val="center"/>
              <w:rPr>
                <w:rFonts w:ascii="Verdana" w:hAnsi="Verdana"/>
                <w:sz w:val="20"/>
                <w:szCs w:val="22"/>
              </w:rPr>
            </w:pPr>
            <w:r w:rsidRPr="002C3065">
              <w:rPr>
                <w:rFonts w:ascii="Verdana" w:hAnsi="Verdana"/>
                <w:sz w:val="20"/>
                <w:szCs w:val="22"/>
              </w:rPr>
              <w:t>Foundation tier</w:t>
            </w:r>
          </w:p>
        </w:tc>
        <w:tc>
          <w:tcPr>
            <w:tcW w:w="2867" w:type="dxa"/>
          </w:tcPr>
          <w:p w:rsidR="00C34A7E" w:rsidRPr="002C3065" w:rsidRDefault="00C34A7E" w:rsidP="002C3065">
            <w:pPr>
              <w:pStyle w:val="Default"/>
              <w:jc w:val="center"/>
              <w:rPr>
                <w:rFonts w:ascii="Verdana" w:hAnsi="Verdana"/>
                <w:sz w:val="20"/>
                <w:szCs w:val="22"/>
              </w:rPr>
            </w:pPr>
            <w:r w:rsidRPr="002C3065">
              <w:rPr>
                <w:rFonts w:ascii="Verdana" w:hAnsi="Verdana"/>
                <w:sz w:val="20"/>
                <w:szCs w:val="22"/>
              </w:rPr>
              <w:t>Higher Tier</w:t>
            </w:r>
          </w:p>
        </w:tc>
      </w:tr>
      <w:tr w:rsidR="00C34A7E" w:rsidRPr="002C3065" w:rsidTr="00C34A7E">
        <w:trPr>
          <w:trHeight w:val="265"/>
        </w:trPr>
        <w:tc>
          <w:tcPr>
            <w:tcW w:w="3073" w:type="dxa"/>
          </w:tcPr>
          <w:p w:rsidR="00C34A7E" w:rsidRPr="002C3065" w:rsidRDefault="00EF0936" w:rsidP="002C3065">
            <w:pPr>
              <w:pStyle w:val="Default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1</w:t>
            </w:r>
            <w:r w:rsidR="00C34A7E" w:rsidRPr="002C3065">
              <w:rPr>
                <w:rFonts w:ascii="Verdana" w:hAnsi="Verdana"/>
                <w:sz w:val="20"/>
                <w:szCs w:val="22"/>
              </w:rPr>
              <w:t>5%</w:t>
            </w:r>
          </w:p>
        </w:tc>
        <w:tc>
          <w:tcPr>
            <w:tcW w:w="2867" w:type="dxa"/>
          </w:tcPr>
          <w:p w:rsidR="00C34A7E" w:rsidRPr="002C3065" w:rsidRDefault="00C34A7E" w:rsidP="002C3065">
            <w:pPr>
              <w:pStyle w:val="Default"/>
              <w:jc w:val="center"/>
              <w:rPr>
                <w:rFonts w:ascii="Verdana" w:hAnsi="Verdana"/>
                <w:sz w:val="20"/>
                <w:szCs w:val="22"/>
              </w:rPr>
            </w:pPr>
            <w:r w:rsidRPr="002C3065">
              <w:rPr>
                <w:rFonts w:ascii="Verdana" w:hAnsi="Verdana"/>
                <w:sz w:val="20"/>
                <w:szCs w:val="22"/>
              </w:rPr>
              <w:t>15%</w:t>
            </w:r>
          </w:p>
        </w:tc>
      </w:tr>
    </w:tbl>
    <w:p w:rsidR="00C34A7E" w:rsidRPr="002C3065" w:rsidRDefault="00C34A7E" w:rsidP="002C3065">
      <w:pPr>
        <w:pStyle w:val="Default"/>
        <w:jc w:val="both"/>
        <w:rPr>
          <w:rFonts w:ascii="Verdana" w:hAnsi="Verdana"/>
          <w:sz w:val="22"/>
          <w:szCs w:val="22"/>
        </w:rPr>
      </w:pPr>
    </w:p>
    <w:p w:rsidR="00C34A7E" w:rsidRPr="002C3065" w:rsidRDefault="00C34A7E" w:rsidP="002C3065">
      <w:pPr>
        <w:pStyle w:val="Default"/>
        <w:jc w:val="both"/>
        <w:rPr>
          <w:rFonts w:ascii="Verdana" w:hAnsi="Verdana"/>
          <w:sz w:val="22"/>
          <w:szCs w:val="22"/>
        </w:rPr>
      </w:pPr>
      <w:r w:rsidRPr="002C3065">
        <w:rPr>
          <w:rFonts w:ascii="Verdana" w:hAnsi="Verdana"/>
          <w:sz w:val="22"/>
          <w:szCs w:val="22"/>
        </w:rPr>
        <w:t xml:space="preserve">Exam boards are to apply these weightings, subject to a +/-3% tolerance across the assessments for each tier in each Assessment Series. Note that where they do not achieve this </w:t>
      </w:r>
      <w:proofErr w:type="gramStart"/>
      <w:r w:rsidRPr="002C3065">
        <w:rPr>
          <w:rFonts w:ascii="Verdana" w:hAnsi="Verdana"/>
          <w:sz w:val="22"/>
          <w:szCs w:val="22"/>
        </w:rPr>
        <w:t>in a given</w:t>
      </w:r>
      <w:proofErr w:type="gramEnd"/>
      <w:r w:rsidRPr="002C3065">
        <w:rPr>
          <w:rFonts w:ascii="Verdana" w:hAnsi="Verdana"/>
          <w:sz w:val="22"/>
          <w:szCs w:val="22"/>
        </w:rPr>
        <w:t xml:space="preserve"> Assessment Series </w:t>
      </w:r>
      <w:r w:rsidR="002C3065">
        <w:rPr>
          <w:rFonts w:ascii="Verdana" w:hAnsi="Verdana"/>
          <w:sz w:val="22"/>
          <w:szCs w:val="22"/>
        </w:rPr>
        <w:t xml:space="preserve">they </w:t>
      </w:r>
      <w:r w:rsidRPr="002C3065">
        <w:rPr>
          <w:rFonts w:ascii="Verdana" w:hAnsi="Verdana"/>
          <w:sz w:val="22"/>
          <w:szCs w:val="22"/>
        </w:rPr>
        <w:t>should achieve t</w:t>
      </w:r>
      <w:r w:rsidR="002C3065">
        <w:rPr>
          <w:rFonts w:ascii="Verdana" w:hAnsi="Verdana"/>
          <w:sz w:val="22"/>
          <w:szCs w:val="22"/>
        </w:rPr>
        <w:t>hem</w:t>
      </w:r>
      <w:r w:rsidRPr="002C3065">
        <w:rPr>
          <w:rFonts w:ascii="Verdana" w:hAnsi="Verdana"/>
          <w:sz w:val="22"/>
          <w:szCs w:val="22"/>
        </w:rPr>
        <w:t xml:space="preserve"> in as few Assessment Series as is possible. </w:t>
      </w:r>
    </w:p>
    <w:p w:rsidR="00C34A7E" w:rsidRDefault="00C34A7E" w:rsidP="002C3065">
      <w:pPr>
        <w:pStyle w:val="Default"/>
        <w:jc w:val="both"/>
        <w:rPr>
          <w:rFonts w:ascii="Verdana" w:hAnsi="Verdana"/>
          <w:sz w:val="22"/>
          <w:szCs w:val="22"/>
        </w:rPr>
      </w:pPr>
    </w:p>
    <w:p w:rsidR="002C3065" w:rsidRPr="00BD2323" w:rsidRDefault="002C3065" w:rsidP="002C3065">
      <w:pPr>
        <w:pStyle w:val="Default"/>
        <w:spacing w:after="240"/>
        <w:jc w:val="both"/>
        <w:rPr>
          <w:rFonts w:ascii="Verdana" w:hAnsi="Verdana"/>
          <w:sz w:val="22"/>
          <w:szCs w:val="22"/>
          <w:u w:val="single"/>
        </w:rPr>
      </w:pPr>
      <w:r w:rsidRPr="00BD2323">
        <w:rPr>
          <w:rFonts w:ascii="Verdana" w:hAnsi="Verdana"/>
          <w:sz w:val="22"/>
          <w:szCs w:val="22"/>
          <w:u w:val="single"/>
        </w:rPr>
        <w:t xml:space="preserve">Resources: </w:t>
      </w:r>
    </w:p>
    <w:p w:rsidR="00C34A7E" w:rsidRDefault="00C34A7E" w:rsidP="002C3065">
      <w:pPr>
        <w:jc w:val="both"/>
        <w:rPr>
          <w:rFonts w:ascii="Verdana" w:hAnsi="Verdana"/>
        </w:rPr>
      </w:pPr>
      <w:r w:rsidRPr="002C3065">
        <w:rPr>
          <w:rFonts w:ascii="Verdana" w:hAnsi="Verdana"/>
        </w:rPr>
        <w:t xml:space="preserve">Below you will find a sample </w:t>
      </w:r>
      <w:r w:rsidR="00374A20">
        <w:rPr>
          <w:rFonts w:ascii="Verdana" w:hAnsi="Verdana"/>
        </w:rPr>
        <w:t xml:space="preserve">(not a definitive list) </w:t>
      </w:r>
      <w:r w:rsidRPr="002C3065">
        <w:rPr>
          <w:rFonts w:ascii="Verdana" w:hAnsi="Verdana"/>
        </w:rPr>
        <w:t>of our</w:t>
      </w:r>
      <w:r w:rsidR="00374A20">
        <w:rPr>
          <w:rFonts w:ascii="Verdana" w:hAnsi="Verdana"/>
        </w:rPr>
        <w:t xml:space="preserve"> </w:t>
      </w:r>
      <w:proofErr w:type="gramStart"/>
      <w:r w:rsidR="00374A20">
        <w:rPr>
          <w:rFonts w:ascii="Verdana" w:hAnsi="Verdana"/>
        </w:rPr>
        <w:t>different types</w:t>
      </w:r>
      <w:proofErr w:type="gramEnd"/>
      <w:r w:rsidR="00374A20">
        <w:rPr>
          <w:rFonts w:ascii="Verdana" w:hAnsi="Verdana"/>
        </w:rPr>
        <w:t xml:space="preserve"> of</w:t>
      </w:r>
      <w:r w:rsidRPr="002C3065">
        <w:rPr>
          <w:rFonts w:ascii="Verdana" w:hAnsi="Verdana"/>
        </w:rPr>
        <w:t xml:space="preserve"> resources that are included in </w:t>
      </w:r>
      <w:proofErr w:type="spellStart"/>
      <w:r w:rsidRPr="002C3065">
        <w:rPr>
          <w:rFonts w:ascii="Verdana" w:hAnsi="Verdana"/>
        </w:rPr>
        <w:t>JustMaths</w:t>
      </w:r>
      <w:proofErr w:type="spellEnd"/>
      <w:r w:rsidRPr="002C3065">
        <w:rPr>
          <w:rFonts w:ascii="Verdana" w:hAnsi="Verdana"/>
        </w:rPr>
        <w:t xml:space="preserve"> Online </w:t>
      </w:r>
      <w:r w:rsidR="00BD2323">
        <w:rPr>
          <w:rFonts w:ascii="Verdana" w:hAnsi="Verdana"/>
        </w:rPr>
        <w:t xml:space="preserve">as part of </w:t>
      </w:r>
      <w:r w:rsidR="00A55CCB">
        <w:rPr>
          <w:rFonts w:ascii="Verdana" w:hAnsi="Verdana"/>
        </w:rPr>
        <w:t>our support package, the “</w:t>
      </w:r>
      <w:proofErr w:type="spellStart"/>
      <w:r w:rsidR="00A55CCB">
        <w:rPr>
          <w:rFonts w:ascii="Verdana" w:hAnsi="Verdana"/>
        </w:rPr>
        <w:t>JustMaths</w:t>
      </w:r>
      <w:proofErr w:type="spellEnd"/>
      <w:r w:rsidR="00A55CCB">
        <w:rPr>
          <w:rFonts w:ascii="Verdana" w:hAnsi="Verdana"/>
        </w:rPr>
        <w:t xml:space="preserve"> Crossover” </w:t>
      </w:r>
      <w:r w:rsidR="002C3065" w:rsidRPr="002C3065">
        <w:rPr>
          <w:rFonts w:ascii="Verdana" w:hAnsi="Verdana"/>
        </w:rPr>
        <w:t xml:space="preserve">but also for teaching </w:t>
      </w:r>
      <w:r w:rsidR="00A55CCB">
        <w:rPr>
          <w:rFonts w:ascii="Verdana" w:hAnsi="Verdana"/>
        </w:rPr>
        <w:t xml:space="preserve">other topics as prescribed by </w:t>
      </w:r>
      <w:r w:rsidR="00A55CCB" w:rsidRPr="002C3065">
        <w:rPr>
          <w:rFonts w:ascii="Verdana" w:hAnsi="Verdana"/>
        </w:rPr>
        <w:t xml:space="preserve">the DFE in </w:t>
      </w:r>
      <w:r w:rsidR="00A55CCB" w:rsidRPr="002C3065">
        <w:rPr>
          <w:rFonts w:ascii="Verdana" w:hAnsi="Verdana"/>
          <w:u w:val="single"/>
        </w:rPr>
        <w:t>this document</w:t>
      </w:r>
      <w:r w:rsidR="00A55CCB" w:rsidRPr="002C3065">
        <w:rPr>
          <w:rFonts w:ascii="Verdana" w:hAnsi="Verdana"/>
        </w:rPr>
        <w:t xml:space="preserve"> (LINK TO DOC 1)</w:t>
      </w:r>
      <w:r w:rsidR="00374A20">
        <w:rPr>
          <w:rFonts w:ascii="Verdana" w:hAnsi="Verdana"/>
        </w:rPr>
        <w:t xml:space="preserve">. Many of the worksheets included as “extras” </w:t>
      </w:r>
      <w:r w:rsidR="00A55CCB">
        <w:rPr>
          <w:rFonts w:ascii="Verdana" w:hAnsi="Verdana"/>
        </w:rPr>
        <w:t xml:space="preserve">are also suitable for use </w:t>
      </w:r>
      <w:r w:rsidR="002C3065" w:rsidRPr="002C3065">
        <w:rPr>
          <w:rFonts w:ascii="Verdana" w:hAnsi="Verdana"/>
        </w:rPr>
        <w:t xml:space="preserve">in key stage 2 and 3: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4A20" w:rsidRPr="00D42BE3" w:rsidTr="002C3065">
        <w:tc>
          <w:tcPr>
            <w:tcW w:w="4508" w:type="dxa"/>
          </w:tcPr>
          <w:p w:rsidR="00374A20" w:rsidRPr="00D42BE3" w:rsidRDefault="001A34B8" w:rsidP="00374A2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Spot the Mistakes </w:t>
            </w:r>
          </w:p>
          <w:p w:rsidR="00374A20" w:rsidRPr="00D42BE3" w:rsidRDefault="001A34B8" w:rsidP="00374A20">
            <w:pPr>
              <w:spacing w:before="24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These kind of activities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are useful in assessing how much students understand following the teaching of a topic</w:t>
            </w:r>
            <w:r w:rsidR="00374A20" w:rsidRPr="00D42BE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374A20" w:rsidRPr="00492A70" w:rsidRDefault="00492A70" w:rsidP="00492A70">
            <w:pPr>
              <w:ind w:left="36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92A70">
              <w:rPr>
                <w:rFonts w:ascii="Verdana" w:hAnsi="Verdana"/>
                <w:sz w:val="20"/>
                <w:szCs w:val="20"/>
                <w:highlight w:val="yellow"/>
              </w:rPr>
              <w:t xml:space="preserve">Image? </w:t>
            </w:r>
          </w:p>
          <w:p w:rsidR="00D42BE3" w:rsidRPr="003F45C0" w:rsidRDefault="00D42BE3" w:rsidP="00D42BE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1A34B8" w:rsidRDefault="001A34B8" w:rsidP="001A34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link to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ALL DOCUMENTS that start with 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1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BE3" w:rsidRPr="00D42BE3" w:rsidRDefault="001A34B8" w:rsidP="001A34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(x</w:t>
            </w:r>
            <w:r>
              <w:rPr>
                <w:rFonts w:ascii="Verdana" w:hAnsi="Verdana"/>
                <w:sz w:val="20"/>
                <w:szCs w:val="20"/>
              </w:rPr>
              <w:t>1 doc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C3065" w:rsidRPr="00D42BE3" w:rsidTr="002C3065">
        <w:tc>
          <w:tcPr>
            <w:tcW w:w="4508" w:type="dxa"/>
          </w:tcPr>
          <w:p w:rsidR="003F45C0" w:rsidRPr="003F45C0" w:rsidRDefault="00492A70" w:rsidP="003F45C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Image?</w:t>
            </w:r>
            <w:r w:rsidR="003F45C0"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proofErr w:type="gramEnd"/>
            <w:r w:rsidR="003F45C0"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  <w:p w:rsidR="003F45C0" w:rsidRPr="003F45C0" w:rsidRDefault="003F45C0" w:rsidP="003F45C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A55CCB" w:rsidRDefault="00492A70" w:rsidP="00492A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link to </w:t>
            </w:r>
            <w:r w:rsidR="003F45C0"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ALL DOCUMENTS that start with </w:t>
            </w:r>
            <w:r w:rsidR="001A34B8">
              <w:rPr>
                <w:rFonts w:ascii="Verdana" w:hAnsi="Verdana"/>
                <w:sz w:val="20"/>
                <w:szCs w:val="20"/>
                <w:highlight w:val="yellow"/>
              </w:rPr>
              <w:t>2</w:t>
            </w:r>
            <w:r w:rsidR="003F45C0"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</w:p>
          <w:p w:rsidR="00492A70" w:rsidRPr="00D42BE3" w:rsidRDefault="00492A70" w:rsidP="00492A7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(x 5 docs)</w:t>
            </w:r>
          </w:p>
        </w:tc>
        <w:tc>
          <w:tcPr>
            <w:tcW w:w="4508" w:type="dxa"/>
          </w:tcPr>
          <w:p w:rsidR="002C3065" w:rsidRPr="00D42BE3" w:rsidRDefault="004206C8" w:rsidP="002C3065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42BE3">
              <w:rPr>
                <w:rFonts w:ascii="Verdana" w:hAnsi="Verdana"/>
                <w:b/>
                <w:sz w:val="20"/>
                <w:szCs w:val="20"/>
                <w:u w:val="single"/>
              </w:rPr>
              <w:t>Whodunnit</w:t>
            </w:r>
          </w:p>
          <w:p w:rsidR="002C3065" w:rsidRPr="00D42BE3" w:rsidRDefault="004206C8" w:rsidP="00D53B41">
            <w:pPr>
              <w:spacing w:before="240"/>
              <w:jc w:val="center"/>
              <w:rPr>
                <w:rFonts w:ascii="Verdana" w:hAnsi="Verdana"/>
                <w:sz w:val="20"/>
                <w:szCs w:val="20"/>
              </w:rPr>
            </w:pPr>
            <w:r w:rsidRPr="00D42BE3">
              <w:rPr>
                <w:rFonts w:ascii="Verdana" w:hAnsi="Verdana"/>
                <w:sz w:val="20"/>
                <w:szCs w:val="20"/>
              </w:rPr>
              <w:t>These worksheets involve students having to evaluate statements to decide who committed the crime and where and when it happened.</w:t>
            </w:r>
          </w:p>
        </w:tc>
      </w:tr>
      <w:tr w:rsidR="004206C8" w:rsidRPr="00D42BE3" w:rsidTr="002C3065">
        <w:tc>
          <w:tcPr>
            <w:tcW w:w="4508" w:type="dxa"/>
          </w:tcPr>
          <w:p w:rsidR="001A34B8" w:rsidRPr="00D42BE3" w:rsidRDefault="001A34B8" w:rsidP="001A34B8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Follow Me</w:t>
            </w:r>
          </w:p>
          <w:p w:rsidR="004206C8" w:rsidRPr="00D42BE3" w:rsidRDefault="001A34B8" w:rsidP="001A34B8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D53B41">
              <w:rPr>
                <w:rFonts w:ascii="Verdana" w:hAnsi="Verdana"/>
                <w:sz w:val="20"/>
                <w:szCs w:val="20"/>
              </w:rPr>
              <w:t>A “follow me” style worksheet that results in a statement to ponder</w:t>
            </w:r>
            <w:r>
              <w:rPr>
                <w:rFonts w:ascii="Verdana" w:hAnsi="Verdana"/>
                <w:sz w:val="20"/>
                <w:szCs w:val="20"/>
              </w:rPr>
              <w:t xml:space="preserve"> or a further question to answer</w:t>
            </w:r>
          </w:p>
        </w:tc>
        <w:tc>
          <w:tcPr>
            <w:tcW w:w="4508" w:type="dxa"/>
          </w:tcPr>
          <w:p w:rsidR="00492A70" w:rsidRDefault="00492A70" w:rsidP="00492A7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492A70" w:rsidRPr="003F45C0" w:rsidRDefault="00492A70" w:rsidP="00492A7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Image?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proofErr w:type="gramEnd"/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  <w:p w:rsidR="00492A70" w:rsidRPr="003F45C0" w:rsidRDefault="00492A70" w:rsidP="00492A7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492A70" w:rsidRDefault="00492A70" w:rsidP="00492A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link to 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ALL DOCUMENTS that start with</w:t>
            </w:r>
            <w:r w:rsidR="001A34B8">
              <w:rPr>
                <w:rFonts w:ascii="Verdana" w:hAnsi="Verdana"/>
                <w:sz w:val="20"/>
                <w:szCs w:val="20"/>
                <w:highlight w:val="yellow"/>
              </w:rPr>
              <w:t xml:space="preserve"> 3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</w:p>
          <w:p w:rsidR="004206C8" w:rsidRPr="00D42BE3" w:rsidRDefault="00492A70" w:rsidP="00492A7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(x 2 docs)</w:t>
            </w:r>
          </w:p>
        </w:tc>
      </w:tr>
      <w:tr w:rsidR="004206C8" w:rsidRPr="00D42BE3" w:rsidTr="002C3065">
        <w:tc>
          <w:tcPr>
            <w:tcW w:w="4508" w:type="dxa"/>
          </w:tcPr>
          <w:p w:rsidR="00492A70" w:rsidRPr="003F45C0" w:rsidRDefault="00492A70" w:rsidP="00492A7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Image?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proofErr w:type="gramEnd"/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  <w:p w:rsidR="00492A70" w:rsidRPr="003F45C0" w:rsidRDefault="00492A70" w:rsidP="00492A7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492A70" w:rsidRDefault="00492A70" w:rsidP="00492A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link to 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ALL DOCUMENTS that start with </w:t>
            </w:r>
            <w:r w:rsidR="001A34B8">
              <w:rPr>
                <w:rFonts w:ascii="Verdana" w:hAnsi="Verdana"/>
                <w:sz w:val="20"/>
                <w:szCs w:val="20"/>
                <w:highlight w:val="yellow"/>
              </w:rPr>
              <w:t>4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</w:p>
          <w:p w:rsidR="004206C8" w:rsidRPr="00D42BE3" w:rsidRDefault="00492A70" w:rsidP="00492A70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(x </w:t>
            </w:r>
            <w:r w:rsidR="001A34B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docs)</w:t>
            </w:r>
          </w:p>
        </w:tc>
        <w:tc>
          <w:tcPr>
            <w:tcW w:w="4508" w:type="dxa"/>
          </w:tcPr>
          <w:p w:rsidR="001A34B8" w:rsidRPr="00D42BE3" w:rsidRDefault="001A34B8" w:rsidP="001A34B8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D42BE3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Top Trumps </w:t>
            </w:r>
          </w:p>
          <w:p w:rsidR="004206C8" w:rsidRPr="00D53B41" w:rsidRDefault="001A34B8" w:rsidP="001A34B8">
            <w:pPr>
              <w:spacing w:before="240"/>
              <w:jc w:val="center"/>
              <w:rPr>
                <w:rFonts w:ascii="Verdana" w:hAnsi="Verdana"/>
                <w:sz w:val="20"/>
                <w:szCs w:val="20"/>
              </w:rPr>
            </w:pPr>
            <w:r w:rsidRPr="00D42BE3">
              <w:rPr>
                <w:rFonts w:ascii="Verdana" w:hAnsi="Verdana"/>
                <w:sz w:val="20"/>
                <w:szCs w:val="20"/>
              </w:rPr>
              <w:t xml:space="preserve">Differentiated top trumps cards with three </w:t>
            </w:r>
            <w:proofErr w:type="gramStart"/>
            <w:r w:rsidRPr="00D42BE3">
              <w:rPr>
                <w:rFonts w:ascii="Verdana" w:hAnsi="Verdana"/>
                <w:sz w:val="20"/>
                <w:szCs w:val="20"/>
              </w:rPr>
              <w:t>different levels</w:t>
            </w:r>
            <w:proofErr w:type="gramEnd"/>
            <w:r w:rsidRPr="00D42BE3">
              <w:rPr>
                <w:rFonts w:ascii="Verdana" w:hAnsi="Verdana"/>
                <w:sz w:val="20"/>
                <w:szCs w:val="20"/>
              </w:rPr>
              <w:t>. They can be used in the traditional way of Top Trumps or additional ideas are included.</w:t>
            </w:r>
          </w:p>
        </w:tc>
      </w:tr>
      <w:tr w:rsidR="00374A20" w:rsidRPr="00D42BE3" w:rsidTr="002C3065">
        <w:tc>
          <w:tcPr>
            <w:tcW w:w="4508" w:type="dxa"/>
          </w:tcPr>
          <w:p w:rsidR="00374A20" w:rsidRPr="005C1B6B" w:rsidRDefault="00374A20" w:rsidP="005C1B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1B6B">
              <w:rPr>
                <w:rFonts w:ascii="Verdana" w:hAnsi="Verdana"/>
                <w:b/>
                <w:sz w:val="20"/>
                <w:szCs w:val="20"/>
              </w:rPr>
              <w:t>Exam Style Questions</w:t>
            </w:r>
          </w:p>
          <w:p w:rsidR="00374A20" w:rsidRPr="00D42BE3" w:rsidRDefault="00374A20" w:rsidP="005C1B6B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D42BE3">
              <w:rPr>
                <w:rFonts w:ascii="Verdana" w:hAnsi="Verdana"/>
                <w:sz w:val="20"/>
                <w:szCs w:val="20"/>
              </w:rPr>
              <w:t xml:space="preserve">These are available for every topic in the </w:t>
            </w:r>
            <w:proofErr w:type="spellStart"/>
            <w:r w:rsidRPr="00D42BE3">
              <w:rPr>
                <w:rFonts w:ascii="Verdana" w:hAnsi="Verdana"/>
                <w:sz w:val="20"/>
                <w:szCs w:val="20"/>
              </w:rPr>
              <w:t>JustMaths</w:t>
            </w:r>
            <w:proofErr w:type="spellEnd"/>
            <w:r w:rsidRPr="00D42BE3">
              <w:rPr>
                <w:rFonts w:ascii="Verdana" w:hAnsi="Verdana"/>
                <w:sz w:val="20"/>
                <w:szCs w:val="20"/>
              </w:rPr>
              <w:t xml:space="preserve"> Crossover along with solutions. </w:t>
            </w:r>
          </w:p>
        </w:tc>
        <w:tc>
          <w:tcPr>
            <w:tcW w:w="4508" w:type="dxa"/>
          </w:tcPr>
          <w:p w:rsidR="003F45C0" w:rsidRDefault="003F45C0" w:rsidP="003F45C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D2323" w:rsidRPr="003F45C0" w:rsidRDefault="00BD2323" w:rsidP="00BD23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Image?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proofErr w:type="gramEnd"/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  <w:p w:rsidR="00BD2323" w:rsidRPr="003F45C0" w:rsidRDefault="00BD2323" w:rsidP="00BD23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BD2323" w:rsidRDefault="00BD2323" w:rsidP="00BD23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link to ALL DOCUMENTS that start with </w:t>
            </w:r>
            <w:r w:rsidR="00895397">
              <w:rPr>
                <w:rFonts w:ascii="Verdana" w:hAnsi="Verdana"/>
                <w:sz w:val="20"/>
                <w:szCs w:val="20"/>
              </w:rPr>
              <w:t>5</w:t>
            </w:r>
          </w:p>
          <w:p w:rsidR="00374A20" w:rsidRPr="00D42BE3" w:rsidRDefault="00BD2323" w:rsidP="00BD23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(x </w:t>
            </w:r>
            <w:r w:rsidR="00895397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docs)</w:t>
            </w:r>
          </w:p>
        </w:tc>
      </w:tr>
      <w:tr w:rsidR="001A34B8" w:rsidRPr="00D42BE3" w:rsidTr="002C3065">
        <w:tc>
          <w:tcPr>
            <w:tcW w:w="4508" w:type="dxa"/>
          </w:tcPr>
          <w:p w:rsidR="001A34B8" w:rsidRPr="003F45C0" w:rsidRDefault="001A34B8" w:rsidP="001A34B8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Image?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  <w:proofErr w:type="gramEnd"/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</w:p>
          <w:p w:rsidR="001A34B8" w:rsidRPr="003F45C0" w:rsidRDefault="001A34B8" w:rsidP="001A34B8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:rsidR="001A34B8" w:rsidRDefault="001A34B8" w:rsidP="001A34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link to 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ALL DOCUMENTS that start with </w:t>
            </w:r>
            <w:r w:rsidR="00895397">
              <w:rPr>
                <w:rFonts w:ascii="Verdana" w:hAnsi="Verdana"/>
                <w:sz w:val="20"/>
                <w:szCs w:val="20"/>
                <w:highlight w:val="yellow"/>
              </w:rPr>
              <w:t>6</w:t>
            </w: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</w:p>
          <w:p w:rsidR="001A34B8" w:rsidRPr="00D42BE3" w:rsidRDefault="001A34B8" w:rsidP="001A34B8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(x </w:t>
            </w:r>
            <w:r w:rsidR="00895397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doc</w:t>
            </w:r>
            <w:r w:rsidR="00895397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:rsidR="001A34B8" w:rsidRPr="00D42BE3" w:rsidRDefault="001A34B8" w:rsidP="001A34B8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lastRenderedPageBreak/>
              <w:t>Mission Impossible</w:t>
            </w:r>
          </w:p>
          <w:p w:rsidR="001A34B8" w:rsidRPr="00D42BE3" w:rsidRDefault="001A34B8" w:rsidP="001A34B8">
            <w:pPr>
              <w:spacing w:before="240"/>
              <w:jc w:val="center"/>
              <w:rPr>
                <w:rFonts w:ascii="Verdana" w:hAnsi="Verdana"/>
                <w:sz w:val="20"/>
                <w:szCs w:val="20"/>
              </w:rPr>
            </w:pPr>
            <w:r w:rsidRPr="00A80843">
              <w:rPr>
                <w:rFonts w:ascii="Verdana" w:hAnsi="Verdana"/>
                <w:sz w:val="20"/>
                <w:szCs w:val="20"/>
              </w:rPr>
              <w:lastRenderedPageBreak/>
              <w:t xml:space="preserve">A mission impossible </w:t>
            </w:r>
            <w:r>
              <w:rPr>
                <w:rFonts w:ascii="Verdana" w:hAnsi="Verdana"/>
                <w:sz w:val="20"/>
                <w:szCs w:val="20"/>
              </w:rPr>
              <w:t xml:space="preserve">(they’re not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really impossible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!) </w:t>
            </w:r>
            <w:r w:rsidRPr="00A80843">
              <w:rPr>
                <w:rFonts w:ascii="Verdana" w:hAnsi="Verdana"/>
                <w:sz w:val="20"/>
                <w:szCs w:val="20"/>
              </w:rPr>
              <w:t>themed w/sheet ideal as an extension or main activity (or even homework sheet).</w:t>
            </w:r>
          </w:p>
        </w:tc>
      </w:tr>
      <w:tr w:rsidR="00374A20" w:rsidRPr="00D42BE3" w:rsidTr="002C3065">
        <w:tc>
          <w:tcPr>
            <w:tcW w:w="4508" w:type="dxa"/>
          </w:tcPr>
          <w:p w:rsidR="003F45C0" w:rsidRDefault="003F45C0" w:rsidP="003F45C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45C0" w:rsidRPr="003F45C0" w:rsidRDefault="003F45C0" w:rsidP="003F45C0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JUST A LINK TO ALL documents that </w:t>
            </w:r>
          </w:p>
          <w:p w:rsidR="003F45C0" w:rsidRDefault="003F45C0" w:rsidP="003F45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 xml:space="preserve">that start with </w:t>
            </w:r>
            <w:r w:rsidR="00895397">
              <w:rPr>
                <w:rFonts w:ascii="Verdana" w:hAnsi="Verdana"/>
                <w:sz w:val="20"/>
                <w:szCs w:val="20"/>
                <w:highlight w:val="yellow"/>
              </w:rPr>
              <w:t>7</w:t>
            </w:r>
            <w:bookmarkStart w:id="0" w:name="_GoBack"/>
            <w:bookmarkEnd w:id="0"/>
            <w:r w:rsidRPr="003F45C0">
              <w:rPr>
                <w:rFonts w:ascii="Verdana" w:hAnsi="Verdana"/>
                <w:sz w:val="20"/>
                <w:szCs w:val="20"/>
                <w:highlight w:val="yellow"/>
              </w:rPr>
              <w:t>.</w:t>
            </w:r>
          </w:p>
          <w:p w:rsidR="00374A20" w:rsidRPr="00D42BE3" w:rsidRDefault="00374A20" w:rsidP="00374A2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374A20" w:rsidRPr="005C1B6B" w:rsidRDefault="003F45C0" w:rsidP="005C1B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Other worksheets</w:t>
            </w:r>
          </w:p>
          <w:p w:rsidR="00374A20" w:rsidRPr="00D42BE3" w:rsidRDefault="003F45C0" w:rsidP="005C1B6B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There are a variety of other worksheets that Mel produces to suit the topics. </w:t>
            </w:r>
          </w:p>
        </w:tc>
      </w:tr>
    </w:tbl>
    <w:p w:rsidR="002C3065" w:rsidRDefault="002C3065" w:rsidP="002C3065">
      <w:pPr>
        <w:jc w:val="both"/>
        <w:rPr>
          <w:rFonts w:ascii="Verdana" w:hAnsi="Verdana"/>
        </w:rPr>
      </w:pPr>
    </w:p>
    <w:sectPr w:rsidR="002C3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D92"/>
    <w:multiLevelType w:val="hybridMultilevel"/>
    <w:tmpl w:val="A0789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471B"/>
    <w:multiLevelType w:val="hybridMultilevel"/>
    <w:tmpl w:val="A0789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7E"/>
    <w:rsid w:val="001A34B8"/>
    <w:rsid w:val="002C3065"/>
    <w:rsid w:val="00374A20"/>
    <w:rsid w:val="003F45C0"/>
    <w:rsid w:val="004206C8"/>
    <w:rsid w:val="00492A70"/>
    <w:rsid w:val="005C1B6B"/>
    <w:rsid w:val="00803945"/>
    <w:rsid w:val="00895397"/>
    <w:rsid w:val="00944B3E"/>
    <w:rsid w:val="00A55CCB"/>
    <w:rsid w:val="00BD2323"/>
    <w:rsid w:val="00C34A7E"/>
    <w:rsid w:val="00CE7D26"/>
    <w:rsid w:val="00D42BE3"/>
    <w:rsid w:val="00D53B41"/>
    <w:rsid w:val="00E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1401"/>
  <w15:chartTrackingRefBased/>
  <w15:docId w15:val="{82B7E84F-4B06-4894-8AC8-ED49D091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3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Muldowney</dc:creator>
  <cp:keywords/>
  <dc:description/>
  <cp:lastModifiedBy>Melanie Muldowney</cp:lastModifiedBy>
  <cp:revision>3</cp:revision>
  <dcterms:created xsi:type="dcterms:W3CDTF">2017-08-31T13:39:00Z</dcterms:created>
  <dcterms:modified xsi:type="dcterms:W3CDTF">2017-08-31T13:51:00Z</dcterms:modified>
</cp:coreProperties>
</file>